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27pt; height:1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Галка увидела, как голубей в голубятне хорошо кормят, и покрасилась белилами, чтобы зажить вместе с ними. И пока она молчала, голуби принимали ее за голубя и не гнали; но когда она забылась и каркнула, они сразу узнали ее голос и выгнали ее прочь. Оставшись без голубиного корму, вернулась галка к своим; но те не признали ее из-за белых перьев и не пустили жить с собой. Так галка, погнавшись за двумя выгодами, ни одной не получила.</w:t>
      </w:r>
    </w:p>
    <w:p>
      <w:pPr>
        <w:jc w:val="both"/>
      </w:pPr>
      <w:r>
        <w:rPr>
          <w:sz w:val="21"/>
          <w:szCs w:val="21"/>
        </w:rPr>
        <w:t xml:space="preserve">Следственно, и мы должны довольствоваться тем, что имеем, памятуя, что алчность ничего не приносит, а только отнимает последнее.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2020-06-03T15:33:32+03:00</dcterms:created>
  <dcterms:modified xsi:type="dcterms:W3CDTF">2020-06-03T15:33:32+03:00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