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Жил мальчик в ученье, пришёл восвояси на праздник.</w:t>
      </w:r>
      <w:br/>
      <w:br/>
      <w:r>
        <w:rPr>
          <w:sz w:val="21"/>
          <w:szCs w:val="21"/>
        </w:rPr>
        <w:t xml:space="preserve">Сели за кашу. Мальчик сказал:</w:t>
      </w:r>
      <w:br/>
      <w:br/>
      <w:r>
        <w:rPr>
          <w:sz w:val="21"/>
          <w:szCs w:val="21"/>
        </w:rPr>
        <w:t xml:space="preserve">—   Какая у вас каша густая, такой каши у хозяина не бывает.</w:t>
      </w:r>
    </w:p>
    <w:p>
      <w:pPr/>
      <w:r>
        <w:pict>
          <v:shape type="#_x0000_t75" style="width:600pt; height:47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А мать сказала:</w:t>
      </w:r>
      <w:br/>
      <w:br/>
      <w:r>
        <w:rPr>
          <w:sz w:val="21"/>
          <w:szCs w:val="21"/>
        </w:rPr>
        <w:t xml:space="preserve">—   Семейная кашка гуще кипит.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2019-08-15T17:14:35+03:00</dcterms:created>
  <dcterms:modified xsi:type="dcterms:W3CDTF">2019-08-15T17:14:35+03:00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